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B" w:rsidRPr="00496EFB" w:rsidRDefault="00496EFB" w:rsidP="00496EFB">
      <w:pPr>
        <w:pBdr>
          <w:top w:val="single" w:sz="6" w:space="1" w:color="auto"/>
        </w:pBdr>
        <w:spacing w:after="84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  <w:r w:rsidRPr="00496EFB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Fine modulo</w:t>
      </w:r>
    </w:p>
    <w:p w:rsidR="00496EFB" w:rsidRPr="00496EFB" w:rsidRDefault="00496EFB" w:rsidP="00496EFB">
      <w:pPr>
        <w:spacing w:after="100" w:line="240" w:lineRule="auto"/>
        <w:rPr>
          <w:rFonts w:ascii="Arial" w:eastAsia="Times New Roman" w:hAnsi="Arial" w:cs="Arial"/>
          <w:color w:val="000000"/>
          <w:lang w:val="en-US" w:eastAsia="it-IT"/>
        </w:rPr>
      </w:pPr>
      <w:hyperlink r:id="rId4" w:tgtFrame="_blank" w:history="1">
        <w:r w:rsidRPr="00496EFB">
          <w:rPr>
            <w:rFonts w:ascii="Arial" w:eastAsia="Times New Roman" w:hAnsi="Arial" w:cs="Arial"/>
            <w:vanish/>
            <w:color w:val="0000FF"/>
            <w:u w:val="single"/>
            <w:lang w:val="en-US" w:eastAsia="it-IT"/>
          </w:rPr>
          <w:t>Accueil BV</w:t>
        </w:r>
        <w:r w:rsidRPr="00496EFB">
          <w:rPr>
            <w:rFonts w:ascii="Arial" w:eastAsia="Times New Roman" w:hAnsi="Arial" w:cs="Arial"/>
            <w:color w:val="0000FF"/>
            <w:u w:val="single"/>
            <w:lang w:val="en-US" w:eastAsia="it-IT"/>
          </w:rPr>
          <w:t xml:space="preserve"> </w:t>
        </w:r>
      </w:hyperlink>
      <w:r w:rsidRPr="00496EFB">
        <w:rPr>
          <w:rFonts w:ascii="Arial" w:eastAsia="Times New Roman" w:hAnsi="Arial" w:cs="Arial"/>
          <w:color w:val="000000"/>
          <w:lang w:val="en-US" w:eastAsia="it-IT"/>
        </w:rPr>
        <w:br w:type="textWrapping" w:clear="all"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3307"/>
        <w:gridCol w:w="6391"/>
      </w:tblGrid>
      <w:tr w:rsidR="00496EFB" w:rsidRPr="00496EFB" w:rsidTr="00496EFB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62"/>
            </w:tblGrid>
            <w:tr w:rsidR="00496EFB" w:rsidRPr="00496EF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82"/>
                    <w:gridCol w:w="1520"/>
                  </w:tblGrid>
                  <w:tr w:rsidR="00496EFB" w:rsidRPr="00496EFB">
                    <w:trPr>
                      <w:tblHeader/>
                      <w:tblCellSpacing w:w="15" w:type="dxa"/>
                    </w:trPr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bookmarkStart w:id="0" w:name="TOP" w:colFirst="0" w:colLast="0"/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Identification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hyperlink r:id="rId5" w:anchor="top" w:history="1">
                          <w:r w:rsidRPr="00496EFB">
                            <w:rPr>
                              <w:rFonts w:ascii="Arial" w:eastAsia="Times New Roman" w:hAnsi="Arial" w:cs="Arial"/>
                              <w:b/>
                              <w:bCs/>
                              <w:color w:val="0D3EA0"/>
                              <w:u w:val="single"/>
                              <w:lang w:eastAsia="it-IT"/>
                            </w:rPr>
                            <w:t>Top</w:t>
                          </w:r>
                        </w:hyperlink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Register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Number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02209D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IMO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Number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9246102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Ship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Name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MSC LIRICA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Call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Sign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HOPW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Type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&amp; service: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Passenger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ship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Owner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NEWCO LIRICA S.A.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Connecting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District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NAPOLI (NPL)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Flag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PANAMA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Port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Registry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PANAMA</w:t>
                        </w:r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21"/>
                    <w:gridCol w:w="1481"/>
                  </w:tblGrid>
                  <w:tr w:rsidR="00496EFB" w:rsidRPr="00496EFB">
                    <w:trPr>
                      <w:tblHeader/>
                      <w:tblCellSpacing w:w="15" w:type="dxa"/>
                    </w:trPr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Classification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hyperlink r:id="rId6" w:anchor="top" w:history="1">
                          <w:r w:rsidRPr="00496EFB">
                            <w:rPr>
                              <w:rFonts w:ascii="Arial" w:eastAsia="Times New Roman" w:hAnsi="Arial" w:cs="Arial"/>
                              <w:b/>
                              <w:bCs/>
                              <w:color w:val="0D3EA0"/>
                              <w:u w:val="single"/>
                              <w:lang w:eastAsia="it-IT"/>
                            </w:rPr>
                            <w:t>Top</w:t>
                          </w:r>
                        </w:hyperlink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Main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Class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Symbols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2" name="Immagine 2" descr="http://www.veristar.com/wps/PA_1_1_LT/veristarinfo/images/cro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veristar.com/wps/PA_1_1_LT/veristarinfo/images/cro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Hull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   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138430" cy="138430"/>
                              <wp:effectExtent l="19050" t="0" r="0" b="0"/>
                              <wp:docPr id="3" name="Immagine 3" descr="http://www.veristar.com/wps/PA_1_1_LT/veristarinfo/images/cro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veristar.com/wps/PA_1_1_LT/veristarinfo/images/cro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30" cy="1384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Mach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Service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Notations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"/>
                          <w:gridCol w:w="1097"/>
                        </w:tblGrid>
                        <w:tr w:rsidR="00496EFB" w:rsidRPr="00496EFB">
                          <w:trPr>
                            <w:tblCellSpacing w:w="15" w:type="dxa"/>
                          </w:trPr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496EFB" w:rsidRPr="00496EFB" w:rsidRDefault="00496EFB" w:rsidP="00496EF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496EFB" w:rsidRPr="00496EFB" w:rsidRDefault="00496EFB" w:rsidP="00496EF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  <w:proofErr w:type="spellStart"/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t>Passenger</w:t>
                              </w:r>
                              <w:proofErr w:type="spellEnd"/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t>ship</w:t>
                              </w:r>
                              <w:proofErr w:type="spellEnd"/>
                            </w:p>
                          </w:tc>
                        </w:tr>
                      </w:tbl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Navigation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Notations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Unrestricted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navigation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Additional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Class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Notation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(s):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5"/>
                          <w:gridCol w:w="823"/>
                        </w:tblGrid>
                        <w:tr w:rsidR="00496EFB" w:rsidRPr="00496EFB">
                          <w:trPr>
                            <w:tblCellSpacing w:w="15" w:type="dxa"/>
                          </w:trPr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496EFB" w:rsidRPr="00496EFB" w:rsidRDefault="00496EFB" w:rsidP="00496EF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19050" t="0" r="0" b="0"/>
                                    <wp:docPr id="4" name="Immagine 4" descr="http://www.veristar.com/wps/PA_1_1_LT/veristarinfo/images/cro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veristar.com/wps/PA_1_1_LT/veristarinfo/images/cro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19050" t="0" r="0" b="0"/>
                                    <wp:docPr id="5" name="Immagine 5" descr="http://www.veristar.com/wps/PA_1_1_LT/veristarinfo/images/cro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veristar.com/wps/PA_1_1_LT/veristarinfo/images/cro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19050" t="0" r="0" b="0"/>
                                    <wp:docPr id="6" name="Immagine 6" descr="http://www.veristar.com/wps/PA_1_1_LT/veristarinfo/images/cro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veristar.com/wps/PA_1_1_LT/veristarinfo/images/cro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0" t="0" r="0" b="0"/>
                                    <wp:docPr id="7" name="Immagine 7" descr="http://www.veristar.com/wps/PA_1_1_LT/veristarinfo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veristar.com/wps/PA_1_1_LT/veristarinfo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19050" t="0" r="0" b="0"/>
                                    <wp:docPr id="8" name="Immagine 8" descr="http://www.veristar.com/wps/PA_1_1_LT/veristarinfo/images/cro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veristar.com/wps/PA_1_1_LT/veristarinfo/images/cro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0" t="0" r="0" b="0"/>
                                    <wp:docPr id="9" name="Immagine 9" descr="http://www.veristar.com/wps/PA_1_1_LT/veristarinfo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veristar.com/wps/PA_1_1_LT/veristarinfo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496EFB" w:rsidRPr="00496EFB" w:rsidRDefault="00496EFB" w:rsidP="00496EF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</w:pP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t>AUT-IMS (SS)</w:t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br/>
                                <w:t>AUT-PORT (SS)</w:t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br/>
                                <w:t>SYS-</w:t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lastRenderedPageBreak/>
                                <w:t>NEQ (SS)</w:t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br/>
                                <w:t>CLEAN</w:t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br/>
                                <w:t>REF-STORE (SS)</w:t>
                              </w:r>
                              <w:r w:rsidRPr="00496EFB">
                                <w:rPr>
                                  <w:rFonts w:ascii="Arial" w:eastAsia="Times New Roman" w:hAnsi="Arial" w:cs="Arial"/>
                                  <w:lang w:val="en-US" w:eastAsia="it-IT"/>
                                </w:rPr>
                                <w:br/>
                                <w:t>SDS</w:t>
                              </w:r>
                            </w:p>
                          </w:tc>
                        </w:tr>
                      </w:tbl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lastRenderedPageBreak/>
                          <w:t>Machinery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5"/>
                          <w:gridCol w:w="823"/>
                        </w:tblGrid>
                        <w:tr w:rsidR="00496EFB" w:rsidRPr="00496EFB">
                          <w:trPr>
                            <w:tblCellSpacing w:w="15" w:type="dxa"/>
                          </w:trPr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496EFB" w:rsidRPr="00496EFB" w:rsidRDefault="00496EFB" w:rsidP="00496EF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38430" cy="138430"/>
                                    <wp:effectExtent l="19050" t="0" r="0" b="0"/>
                                    <wp:docPr id="10" name="Immagine 10" descr="http://www.veristar.com/wps/PA_1_1_LT/veristarinfo/images/croix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www.veristar.com/wps/PA_1_1_LT/veristarinfo/images/croix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30" cy="1384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496EFB" w:rsidRPr="00496EFB" w:rsidRDefault="00496EFB" w:rsidP="00496EF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  <w:r w:rsidRPr="00496EFB"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  <w:t>MACH</w:t>
                              </w:r>
                            </w:p>
                          </w:tc>
                        </w:tr>
                      </w:tbl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Equipment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1(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Ch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78 Q3)</w:t>
                        </w:r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6"/>
                    <w:gridCol w:w="1666"/>
                  </w:tblGrid>
                  <w:tr w:rsidR="00496EFB" w:rsidRPr="00496EFB">
                    <w:trPr>
                      <w:tblHeader/>
                      <w:tblCellSpacing w:w="15" w:type="dxa"/>
                    </w:trPr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Dimension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hyperlink r:id="rId9" w:anchor="top" w:history="1">
                          <w:r w:rsidRPr="00496EFB">
                            <w:rPr>
                              <w:rFonts w:ascii="Arial" w:eastAsia="Times New Roman" w:hAnsi="Arial" w:cs="Arial"/>
                              <w:b/>
                              <w:bCs/>
                              <w:color w:val="0D3EA0"/>
                              <w:u w:val="single"/>
                              <w:lang w:eastAsia="it-IT"/>
                            </w:rPr>
                            <w:t>Top</w:t>
                          </w:r>
                        </w:hyperlink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Gross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Tonnage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69: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59058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Net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Tonnage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69: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33747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Deadweight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6563 ton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Overall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Length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251.25 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LPP: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222.25 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Breadth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28.8 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Depth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34.85 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Draught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6.8 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Freeboard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3204 mm</w:t>
                        </w:r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16"/>
                    <w:gridCol w:w="1886"/>
                  </w:tblGrid>
                  <w:tr w:rsidR="00496EFB" w:rsidRPr="00496EFB">
                    <w:trPr>
                      <w:tblHeader/>
                      <w:tblCellSpacing w:w="15" w:type="dxa"/>
                    </w:trPr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Hull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 xml:space="preserve"> &amp; Cargo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hyperlink r:id="rId10" w:anchor="top" w:history="1">
                          <w:r w:rsidRPr="00496EFB">
                            <w:rPr>
                              <w:rFonts w:ascii="Arial" w:eastAsia="Times New Roman" w:hAnsi="Arial" w:cs="Arial"/>
                              <w:b/>
                              <w:bCs/>
                              <w:color w:val="0D3EA0"/>
                              <w:u w:val="single"/>
                              <w:lang w:eastAsia="it-IT"/>
                            </w:rPr>
                            <w:t>Top</w:t>
                          </w:r>
                        </w:hyperlink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Builder: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STX France SA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Place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build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Country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SAINT-NAZAIRE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Cedex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(FRA)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Date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lastRenderedPageBreak/>
                          <w:t>Build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24 Mar 2003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lastRenderedPageBreak/>
                          <w:t xml:space="preserve">Yard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N°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K32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Hull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Material: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Steel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Nb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Watertight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Comp.: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19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Number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Cont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.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Decks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14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Tanks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LBC: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202905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Refrigerating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Installations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Nb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holds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23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Total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capacity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1722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Insulation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material: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Polyurethane</w:t>
                        </w:r>
                        <w:proofErr w:type="spellEnd"/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87"/>
                    <w:gridCol w:w="1715"/>
                  </w:tblGrid>
                  <w:tr w:rsidR="00496EFB" w:rsidRPr="00496EFB">
                    <w:trPr>
                      <w:tblHeader/>
                      <w:tblCellSpacing w:w="15" w:type="dxa"/>
                    </w:trPr>
                    <w:tc>
                      <w:tcPr>
                        <w:tcW w:w="2344" w:type="dxa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Machinery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hyperlink r:id="rId11" w:anchor="top" w:history="1">
                          <w:r w:rsidRPr="00496EFB">
                            <w:rPr>
                              <w:rFonts w:ascii="Arial" w:eastAsia="Times New Roman" w:hAnsi="Arial" w:cs="Arial"/>
                              <w:b/>
                              <w:bCs/>
                              <w:color w:val="0D3EA0"/>
                              <w:u w:val="single"/>
                              <w:lang w:eastAsia="it-IT"/>
                            </w:rPr>
                            <w:t>Top</w:t>
                          </w:r>
                        </w:hyperlink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Propelling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Type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Electrical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Licence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ALSTOM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Date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Build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01 Jan 2003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Builder: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ALSTOM MOTEURS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Place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Build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country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Nancy (FRA)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Power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and rating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lastRenderedPageBreak/>
                          <w:t xml:space="preserve">Total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Power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(kW):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20000 kW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Total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Power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(HP):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27174 HP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Propelling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machinery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Internal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Combustion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Engine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(4) 0T -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cyl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 - 0.00 cm x 0.00 cm at 600 rpm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Electrical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Propulsion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Generator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(4) 7650kW 6600.00V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Electrical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Propulsion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Engine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(2) 10000kW at 170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rpm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Boilers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Boiler: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2 CHO 85.10 m² / 8.00 bar</w:t>
                        </w: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br/>
                          <w:t>4 CHR 218.00 m² / 8.00 bar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Electrical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Power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Voltage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6600 V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Lighting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Voltage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220 V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Frequency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60 Hz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Emergency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Generators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1 - 938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kVA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- 750 kW - 1202 HP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Propellers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and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propellershafts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Propelling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system: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1 Pod Solid LB 5.00 at 170 rpm</w:t>
                        </w: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br/>
                          <w:t>1 Pod Solid LB 10.00 at 170 rpm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Speed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the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ship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Speed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21.5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kn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Refrigerating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Installations</w:t>
                        </w:r>
                        <w:proofErr w:type="spellEnd"/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Method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of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cooling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Brine</w:t>
                        </w:r>
                      </w:p>
                    </w:tc>
                  </w:tr>
                  <w:tr w:rsidR="00496EFB" w:rsidRPr="00496EFB">
                    <w:trPr>
                      <w:tblCellSpacing w:w="15" w:type="dxa"/>
                    </w:trPr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Means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for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distribution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i/>
                            <w:iCs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Air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Coolers</w:t>
                        </w:r>
                        <w:proofErr w:type="spellEnd"/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:rsidR="00496EFB" w:rsidRPr="00496EFB" w:rsidRDefault="00496EFB" w:rsidP="00496EF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6"/>
            </w:tblGrid>
            <w:tr w:rsidR="00496EFB" w:rsidRPr="00496EF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96EFB" w:rsidRPr="00496EFB" w:rsidRDefault="00496EFB" w:rsidP="00496EFB">
                  <w:pPr>
                    <w:spacing w:after="10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</w:pPr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lastRenderedPageBreak/>
                    <w:t>Ship details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88"/>
                    <w:gridCol w:w="3598"/>
                  </w:tblGrid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Ship Name: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MSC LIRICA</w:t>
                        </w:r>
                      </w:p>
                    </w:tc>
                  </w:tr>
                  <w:bookmarkEnd w:id="0"/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BV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Reg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02209D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Gross Tonnage: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59058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Date of build: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24 Mar 2003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Type: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Passenger ship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Flag: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PANAMA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Class situation: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Definitive classification</w:t>
                        </w:r>
                      </w:p>
                    </w:tc>
                  </w:tr>
                </w:tbl>
                <w:p w:rsidR="00496EFB" w:rsidRPr="00496EFB" w:rsidRDefault="00496EFB" w:rsidP="00496EFB">
                  <w:pPr>
                    <w:shd w:val="clear" w:color="auto" w:fill="F5F5F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</w:pPr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 xml:space="preserve">This information transmitted electronically from the Bureau </w:t>
                  </w:r>
                  <w:proofErr w:type="spellStart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>Veritas</w:t>
                  </w:r>
                  <w:proofErr w:type="spellEnd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 xml:space="preserve"> database is intended only for </w:t>
                  </w:r>
                  <w:proofErr w:type="spellStart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>Equasis</w:t>
                  </w:r>
                  <w:proofErr w:type="spellEnd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 xml:space="preserve">. Complete accuracy of this information cannot be guaranteed. Any review, retransmission, dissemination or other use of, or taking of any action in reliance upon, this information implies </w:t>
                  </w:r>
                  <w:proofErr w:type="spellStart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>adherance</w:t>
                  </w:r>
                  <w:proofErr w:type="spellEnd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 xml:space="preserve"> to the General Conditions of Bureau </w:t>
                  </w:r>
                  <w:proofErr w:type="spellStart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>Veritas</w:t>
                  </w:r>
                  <w:proofErr w:type="spellEnd"/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 xml:space="preserve"> Marine Division (available at </w:t>
                  </w:r>
                  <w:hyperlink r:id="rId12" w:history="1">
                    <w:r w:rsidRPr="00496EFB">
                      <w:rPr>
                        <w:rFonts w:ascii="Arial" w:eastAsia="Times New Roman" w:hAnsi="Arial" w:cs="Arial"/>
                        <w:b/>
                        <w:bCs/>
                        <w:color w:val="0D3EA0"/>
                        <w:u w:val="single"/>
                        <w:lang w:val="en-US" w:eastAsia="it-IT"/>
                      </w:rPr>
                      <w:t>http://www.veristar.com</w:t>
                    </w:r>
                  </w:hyperlink>
                  <w:r w:rsidRPr="00496EFB">
                    <w:rPr>
                      <w:rFonts w:ascii="Arial" w:eastAsia="Times New Roman" w:hAnsi="Arial" w:cs="Arial"/>
                      <w:b/>
                      <w:bCs/>
                      <w:lang w:val="en-US" w:eastAsia="it-IT"/>
                    </w:rPr>
                    <w:t xml:space="preserve"> ) which form an integral part of this information. </w:t>
                  </w:r>
                </w:p>
                <w:p w:rsidR="00496EFB" w:rsidRPr="00496EFB" w:rsidRDefault="00496EFB" w:rsidP="00496EFB">
                  <w:pPr>
                    <w:spacing w:before="84" w:after="10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proofErr w:type="spellStart"/>
                  <w:r w:rsidRPr="00496EFB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Certificates</w:t>
                  </w:r>
                  <w:proofErr w:type="spellEnd"/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52"/>
                    <w:gridCol w:w="1225"/>
                    <w:gridCol w:w="816"/>
                    <w:gridCol w:w="1188"/>
                    <w:gridCol w:w="1505"/>
                  </w:tblGrid>
                  <w:tr w:rsidR="00496EFB" w:rsidRPr="00496EFB" w:rsidTr="00496EFB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Certificates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Issuance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Limit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color w:val="3C3C3C"/>
                            <w:lang w:eastAsia="it-IT"/>
                          </w:rPr>
                          <w:t>Description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Hull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21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Machinery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Boilers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Automated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Refrigerating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Mar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Centralized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Navigation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Control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Load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05 Mar 2009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SOLAS Passenger Ship Safety Certificate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MARPOL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Annex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MARPOL Annex IV Sewage certificate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MARPOL Annex VI Prevention Air Pollution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Certific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ILO 152 Cargo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Gear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26 Jan 2007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5F5F5"/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IAFS International Anti-Fouling System Certificate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Definitive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hyperlink r:id="rId13" w:anchor="TOP" w:history="1">
                    <w:r w:rsidRPr="00496EFB">
                      <w:rPr>
                        <w:rFonts w:ascii="Arial" w:eastAsia="Times New Roman" w:hAnsi="Arial" w:cs="Arial"/>
                        <w:color w:val="0D3EA0"/>
                        <w:u w:val="single"/>
                        <w:lang w:eastAsia="it-IT"/>
                      </w:rPr>
                      <w:t>Top</w:t>
                    </w:r>
                  </w:hyperlink>
                  <w:r w:rsidRPr="00496EFB">
                    <w:rPr>
                      <w:rFonts w:ascii="Arial" w:eastAsia="Times New Roman" w:hAnsi="Arial" w:cs="Arial"/>
                      <w:lang w:eastAsia="it-IT"/>
                    </w:rPr>
                    <w:t xml:space="preserve"> </w:t>
                  </w:r>
                </w:p>
                <w:p w:rsidR="00496EFB" w:rsidRPr="00496EFB" w:rsidRDefault="00496EFB" w:rsidP="00496EFB">
                  <w:pPr>
                    <w:spacing w:before="84" w:after="10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</w:pPr>
                  <w:proofErr w:type="spellStart"/>
                  <w:r w:rsidRPr="00496EFB">
                    <w:rPr>
                      <w:rFonts w:ascii="Arial" w:eastAsia="Times New Roman" w:hAnsi="Arial" w:cs="Arial"/>
                      <w:b/>
                      <w:bCs/>
                      <w:lang w:eastAsia="it-IT"/>
                    </w:rPr>
                    <w:t>Surveys</w:t>
                  </w:r>
                  <w:proofErr w:type="spellEnd"/>
                </w:p>
                <w:tbl>
                  <w:tblPr>
                    <w:tblW w:w="5000" w:type="pct"/>
                    <w:tblCellSpacing w:w="15" w:type="dxa"/>
                    <w:tblBorders>
                      <w:top w:val="single" w:sz="12" w:space="0" w:color="CDCDCD"/>
                      <w:left w:val="single" w:sz="12" w:space="0" w:color="CDCDCD"/>
                      <w:bottom w:val="single" w:sz="12" w:space="0" w:color="CDCDCD"/>
                      <w:right w:val="single" w:sz="12" w:space="0" w:color="CDCDC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73"/>
                    <w:gridCol w:w="1150"/>
                    <w:gridCol w:w="1142"/>
                    <w:gridCol w:w="1435"/>
                    <w:gridCol w:w="986"/>
                  </w:tblGrid>
                  <w:tr w:rsidR="00496EFB" w:rsidRPr="00496EFB" w:rsidTr="00496EFB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>Last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 xml:space="preserve">Due Date /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>Window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>Dates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>Postponed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CDCDCD"/>
                          <w:right w:val="nil"/>
                        </w:tcBorders>
                        <w:shd w:val="clear" w:color="auto" w:fill="F5F5F5"/>
                        <w:tcMar>
                          <w:top w:w="134" w:type="dxa"/>
                          <w:left w:w="134" w:type="dxa"/>
                          <w:bottom w:w="134" w:type="dxa"/>
                          <w:right w:w="134" w:type="dxa"/>
                        </w:tcMar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C3C3C"/>
                            <w:lang w:eastAsia="it-IT"/>
                          </w:rPr>
                          <w:t>Status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Hull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Hull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Class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Renewal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06 May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24 Mar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lastRenderedPageBreak/>
                          <w:t>Hull Annual Survey for Renewal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Hull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Hull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Intermediate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Periodical Bottom Survey in Dry Dock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Machinery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Machinery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Class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Renewal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Machinery Annual Survey for Renewal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Machinery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Portside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Tailshaft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Complete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Portside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Tailshaft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Modified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2015 - 17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Starboard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Tailshaft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Complete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Starboard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Tailshaft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Modified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2015 - 15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Portside External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Tailshaft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 Modified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2015 - 15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Oct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Boilers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Boiler Certificate Class Renewal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Boiler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External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Aux. Oil-Fired Boiler 1 Internal &amp; External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Aux. Oil-Fired Boiler 2 Internal &amp; External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Aux.Exhau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. Gas Boiler 1 Internal &amp; External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Aux.Exhau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. Gas Boiler 2 Internal &amp; External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Aux.Exhau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. Gas Boiler 3 </w:t>
                        </w: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lastRenderedPageBreak/>
                          <w:t>Internal &amp; External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lastRenderedPageBreak/>
                          <w:t>Aux.Exhau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. Gas Boiler 4 Internal &amp; External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Automated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Automated Installation Class Renewal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Automated Installations Annual Survey for Renewal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Automated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Installations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Refrigerating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Refrigerating Installation Class Renewal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Refrigerating Inst. Annual Survey for Renewal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Refrigerating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Centralized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Navigation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Control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Installation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 xml:space="preserve">Centralized Navigation Control </w:t>
                        </w: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lastRenderedPageBreak/>
                          <w:t>Renewal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lastRenderedPageBreak/>
                          <w:t>Centralized Navigation Control Annual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Load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Line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Load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Line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Periodical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Load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Line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SOLAS Passenger Ship Safety Certificate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Safety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Passenger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Periodical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Limit Date in less than 6 m.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Periodic Servicing of Launching Appliances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MARPOL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Annex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I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MARPOL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Periodical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IOPP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IOPP Intermediate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27 Mar 2010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MARPOL Annex IV Sewage certificate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Sewage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System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Renewal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06 May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 xml:space="preserve">24 Mar </w:t>
                        </w: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lastRenderedPageBreak/>
                          <w:t>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lastRenderedPageBreak/>
                          <w:t>MARPOL Annex VI Prevention Air Pollution Certific.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IAPP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Renewal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24 Mar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IAPP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Annual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17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Apr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Dec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2011 - 24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Jun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IAPP Intermediate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27 Mar 2010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ILO 152 Cargo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Gear</w:t>
                        </w:r>
                        <w:proofErr w:type="spellEnd"/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ILO 152 Cargo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Gear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Periodical</w:t>
                        </w:r>
                        <w:proofErr w:type="spellEnd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Survey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ILO 152 Cargo Gear Annual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10 Jan 2011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10 Jan 2012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Limit Date in less than 3 m.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ILO 152 Cargo Gear Load Test Survey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eastAsia="it-IT"/>
                          </w:rPr>
                          <w:t>06 May 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IAFS International Anti-Fouling System Certificate</w:t>
                        </w:r>
                      </w:p>
                    </w:tc>
                  </w:tr>
                  <w:tr w:rsidR="00496EFB" w:rsidRPr="00496EFB" w:rsidTr="00496EF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DCDCD"/>
                          <w:right w:val="nil"/>
                        </w:tcBorders>
                        <w:tcMar>
                          <w:top w:w="33" w:type="dxa"/>
                          <w:left w:w="134" w:type="dxa"/>
                          <w:bottom w:w="33" w:type="dxa"/>
                          <w:right w:w="134" w:type="dxa"/>
                        </w:tcMar>
                        <w:hideMark/>
                      </w:tcPr>
                      <w:p w:rsidR="00496EFB" w:rsidRPr="00496EFB" w:rsidRDefault="00496EFB" w:rsidP="00496EFB">
                        <w:pPr>
                          <w:spacing w:before="50" w:after="167" w:line="240" w:lineRule="auto"/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</w:pPr>
                        <w:r w:rsidRPr="00496EFB">
                          <w:rPr>
                            <w:rFonts w:ascii="Arial" w:eastAsia="Times New Roman" w:hAnsi="Arial" w:cs="Arial"/>
                            <w:lang w:val="en-US" w:eastAsia="it-IT"/>
                          </w:rPr>
                          <w:t>Anti-Fouling System Renewal Survey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96EFB" w:rsidRPr="00496EFB" w:rsidRDefault="00496EFB" w:rsidP="00496EF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it-IT"/>
                          </w:rPr>
                        </w:pPr>
                      </w:p>
                    </w:tc>
                  </w:tr>
                </w:tbl>
                <w:p w:rsidR="00496EFB" w:rsidRPr="00496EFB" w:rsidRDefault="00496EFB" w:rsidP="00496EFB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US" w:eastAsia="it-IT"/>
                    </w:rPr>
                  </w:pPr>
                </w:p>
              </w:tc>
            </w:tr>
          </w:tbl>
          <w:p w:rsidR="00496EFB" w:rsidRPr="00496EFB" w:rsidRDefault="00496EFB" w:rsidP="00496EFB">
            <w:pPr>
              <w:spacing w:after="0" w:line="240" w:lineRule="auto"/>
              <w:rPr>
                <w:rFonts w:ascii="Arial" w:eastAsia="Times New Roman" w:hAnsi="Arial" w:cs="Arial"/>
                <w:lang w:val="en-US" w:eastAsia="it-IT"/>
              </w:rPr>
            </w:pPr>
          </w:p>
        </w:tc>
      </w:tr>
    </w:tbl>
    <w:p w:rsidR="00EA61D6" w:rsidRPr="00496EFB" w:rsidRDefault="00EA61D6">
      <w:pPr>
        <w:rPr>
          <w:lang w:val="en-US"/>
        </w:rPr>
      </w:pPr>
    </w:p>
    <w:sectPr w:rsidR="00EA61D6" w:rsidRPr="00496EFB" w:rsidSect="00EA6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96EFB"/>
    <w:rsid w:val="00496EFB"/>
    <w:rsid w:val="00EA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D6"/>
  </w:style>
  <w:style w:type="paragraph" w:styleId="Titolo3">
    <w:name w:val="heading 3"/>
    <w:basedOn w:val="Normale"/>
    <w:link w:val="Titolo3Carattere"/>
    <w:uiPriority w:val="9"/>
    <w:qFormat/>
    <w:rsid w:val="00496EFB"/>
    <w:pPr>
      <w:spacing w:before="84" w:after="84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96EF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6EFB"/>
    <w:rPr>
      <w:color w:val="0000FF"/>
      <w:u w:val="single"/>
    </w:rPr>
  </w:style>
  <w:style w:type="character" w:customStyle="1" w:styleId="submit1">
    <w:name w:val="submit1"/>
    <w:basedOn w:val="Carpredefinitoparagrafo"/>
    <w:rsid w:val="00496E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96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96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96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96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9585">
              <w:marLeft w:val="167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5865">
                      <w:marLeft w:val="201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1666">
                              <w:marLeft w:val="167"/>
                              <w:marRight w:val="167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4882">
              <w:marLeft w:val="167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893">
                          <w:marLeft w:val="100"/>
                          <w:marRight w:val="1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69424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veristar.com/wps/portal/equasis?IMO=92461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www.verist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istar.com/wps/portal/equasis?IMO=9246102" TargetMode="External"/><Relationship Id="rId11" Type="http://schemas.openxmlformats.org/officeDocument/2006/relationships/hyperlink" Target="http://www.veristar.com/wps/portal/equasis?IMO=9246102" TargetMode="External"/><Relationship Id="rId5" Type="http://schemas.openxmlformats.org/officeDocument/2006/relationships/hyperlink" Target="http://www.veristar.com/wps/portal/equasis?IMO=92461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eristar.com/wps/portal/equasis?IMO=9246102" TargetMode="External"/><Relationship Id="rId4" Type="http://schemas.openxmlformats.org/officeDocument/2006/relationships/hyperlink" Target="http://www.bureauveritas.com" TargetMode="External"/><Relationship Id="rId9" Type="http://schemas.openxmlformats.org/officeDocument/2006/relationships/hyperlink" Target="http://www.veristar.com/wps/portal/equasis?IMO=9246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ve</cp:lastModifiedBy>
  <cp:revision>1</cp:revision>
  <dcterms:created xsi:type="dcterms:W3CDTF">2011-10-27T19:12:00Z</dcterms:created>
  <dcterms:modified xsi:type="dcterms:W3CDTF">2011-10-27T19:13:00Z</dcterms:modified>
</cp:coreProperties>
</file>